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Додаток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60" w:before="360" w:line="240" w:lineRule="auto"/>
        <w:jc w:val="both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Стандартне технічне завдання Sida для щорічного аудиту проєктної підтримки, включно з МССП 4400 (Переглянутим)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360" w:line="240" w:lineRule="auto"/>
        <w:jc w:val="both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Вступ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Громадська організація </w:t>
      </w:r>
      <w:r w:rsidDel="00000000" w:rsidR="00000000" w:rsidRPr="00000000">
        <w:rPr>
          <w:rFonts w:ascii="Calibri" w:cs="Calibri" w:eastAsia="Calibri" w:hAnsi="Calibri"/>
          <w:color w:val="548dd4"/>
          <w:sz w:val="22"/>
          <w:szCs w:val="22"/>
          <w:rtl w:val="0"/>
        </w:rPr>
        <w:t xml:space="preserve">«Докудейз»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надалі іменована як Партнер зі співпраці, бажає залучити послуги аудиторської фірми для проведення аудиту:</w:t>
      </w:r>
    </w:p>
    <w:p w:rsidR="00000000" w:rsidDel="00000000" w:rsidP="00000000" w:rsidRDefault="00000000" w:rsidRPr="00000000" w14:paraId="00000005">
      <w:pPr>
        <w:spacing w:after="20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  проєкту </w:t>
      </w:r>
      <w:r w:rsidDel="00000000" w:rsidR="00000000" w:rsidRPr="00000000">
        <w:rPr>
          <w:rFonts w:ascii="Calibri" w:cs="Calibri" w:eastAsia="Calibri" w:hAnsi="Calibri"/>
          <w:color w:val="548dd4"/>
          <w:sz w:val="22"/>
          <w:szCs w:val="22"/>
          <w:rtl w:val="0"/>
        </w:rPr>
        <w:t xml:space="preserve">«Міжнародний фестиваль документального кіно про права людини Docudays UA 2021-2023»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як це передбачено угодою між Партнером зі співпраці та Sida. Аудит має проводитися відповідно до Міжнародних стандартів аудиту (МСА) виданих РМСАНВ. </w:t>
      </w:r>
    </w:p>
    <w:p w:rsidR="00000000" w:rsidDel="00000000" w:rsidP="00000000" w:rsidRDefault="00000000" w:rsidRPr="00000000" w14:paraId="00000006">
      <w:pPr>
        <w:spacing w:after="20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 завдання має бути виконано відповідно до Міжнародного стандарту супутніх послуг (МССП) 4400 (Переглянутого).  </w:t>
      </w:r>
    </w:p>
    <w:p w:rsidR="00000000" w:rsidDel="00000000" w:rsidP="00000000" w:rsidRDefault="00000000" w:rsidRPr="00000000" w14:paraId="00000007">
      <w:pPr>
        <w:spacing w:after="200" w:line="24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 річної фінансової звітності загального призначення (Баланс та звіт про фінансові результати) станом на 31.12.2023 року. </w:t>
      </w:r>
    </w:p>
    <w:p w:rsidR="00000000" w:rsidDel="00000000" w:rsidP="00000000" w:rsidRDefault="00000000" w:rsidRPr="00000000" w14:paraId="00000008">
      <w:pPr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Аудит і додаткове завдання повинен/а проводити зовнішній/я, незалежний/а та кваліфікований/а аудитор/ка.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600" w:line="240" w:lineRule="auto"/>
        <w:ind w:hanging="567"/>
        <w:jc w:val="both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I.</w:t>
        <w:tab/>
        <w:t xml:space="preserve">Мета та обсяг аудиту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Мета полягає в проведенні аудиту фінансового звіту за період </w:t>
      </w:r>
      <w:r w:rsidDel="00000000" w:rsidR="00000000" w:rsidRPr="00000000">
        <w:rPr>
          <w:rFonts w:ascii="Calibri" w:cs="Calibri" w:eastAsia="Calibri" w:hAnsi="Calibri"/>
          <w:color w:val="548dd4"/>
          <w:sz w:val="22"/>
          <w:szCs w:val="22"/>
          <w:rtl w:val="0"/>
        </w:rPr>
        <w:t xml:space="preserve">2023-01-01 по 2024-02-29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що був поданий Sida, і в створенні аудиторського висновку відповідно до МСА, до якого застосовується МСА 800/МСА 805, про те, що фінансова звітність проєкту </w:t>
      </w:r>
      <w:r w:rsidDel="00000000" w:rsidR="00000000" w:rsidRPr="00000000">
        <w:rPr>
          <w:rFonts w:ascii="Calibri" w:cs="Calibri" w:eastAsia="Calibri" w:hAnsi="Calibri"/>
          <w:color w:val="548dd4"/>
          <w:sz w:val="22"/>
          <w:szCs w:val="22"/>
          <w:rtl w:val="0"/>
        </w:rPr>
        <w:t xml:space="preserve">«Міжнародний фестиваль документального кіно про права людини Docudays UA 2021-2023»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(13427) ведеться відповідно до бухгалтерського обліку Партнера зі співпраці та вимог Sida щодо фінансової звітності, як це передбачено в договорі, включно з додатками між Sida та Партнером зі співпраці (Договір).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360" w:line="240" w:lineRule="auto"/>
        <w:ind w:hanging="567"/>
        <w:jc w:val="both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II. </w:t>
        <w:tab/>
        <w:t xml:space="preserve">Додаткове завдання; розглянути такі напрямки відповідно до наведеного нижче технічного завдання відповідно до погоджених процедур МССП 4400 (Переглянутого)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Обов'язкові процедури, які потрібно включити: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200" w:line="240" w:lineRule="auto"/>
        <w:ind w:left="360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Звернути увагу на те, чи фінансовий звіт структурований так, щоби його можна було безпосередньо порівняти з останнім затвердженим бюджетом. 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200" w:line="240" w:lineRule="auto"/>
        <w:ind w:left="360" w:hanging="36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Перевірити чи фінансовий звіт містить інформацію, що стосується: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200" w:line="24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Фінансових результатів за кожною статтею бюджету (як доходів, так і видатків) за звітний період та стовпці для сукупної інформації про попередні періоди відповідно до цього договору.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after="200" w:line="24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У разі потреби, порівняти чи збігається початковий баланс за звітний період із тим, що був кінцевий баланс на кінець попереднього звітного періоду. 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Інформації про прибутки або збитки при обміні валют. У разі необхідності з'ясувати та підтвердити чи включає інформація весь ланцюг валютних коливань від виплати Sida до початку роботи над проєктом/програмою всередині організації в місцевій валюті/ах. 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00" w:line="24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Пояснювальних приміток (таких як, наприклад, принципів бухгалтерського обліку, що застосовуються під час складання фінансового звіту).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200" w:line="24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У разі потреби, сума коштів, яка була надана партнерам-виконавцям.</w:t>
      </w:r>
    </w:p>
    <w:p w:rsidR="00000000" w:rsidDel="00000000" w:rsidP="00000000" w:rsidRDefault="00000000" w:rsidRPr="00000000" w14:paraId="00000015">
      <w:pPr>
        <w:spacing w:after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3. Зробити запит і перевірити з якою періодичністю витрати на заробітну плату списуються з проєкту/програми впродовж звітного періоду.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Здійснити вибірку з трьох осіб за три різні місяці та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200" w:line="24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Зробити запит і перевірити, чи є супутня документація щодо списання витрат на заробітну плату.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200" w:line="24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Зробити запит і перевірити чи фактичний відпрацьований час задокументований і перевірений керівництвом. Зробити запит і перевірити з якою періодичністю виконується звірення списаного часу з фактичним відпрацьованим часом.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200" w:line="24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Перевірити чи дотримується Партнер зі співпраці чинного податкового законодавства щодо податків на доходи фізичних осіб (PAYE)</w:t>
      </w:r>
      <w:r w:rsidDel="00000000" w:rsidR="00000000" w:rsidRPr="00000000">
        <w:rPr>
          <w:rFonts w:ascii="Calibri" w:cs="Calibri" w:eastAsia="Calibri" w:hAnsi="Calibri"/>
          <w:color w:val="000000"/>
          <w:sz w:val="13"/>
          <w:szCs w:val="13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і зборів на соціальне страхування.</w:t>
      </w:r>
    </w:p>
    <w:p w:rsidR="00000000" w:rsidDel="00000000" w:rsidP="00000000" w:rsidRDefault="00000000" w:rsidRPr="00000000" w14:paraId="0000001A">
      <w:pPr>
        <w:spacing w:after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4. Перевірити і підтвердити, що Партнер зі співпраці перевіряє IP’s та/або постачальників з метою переконатися, що ці сторони не включені до списку осіб, груп та організацій, до яких застосовуються фінансові санкції Європейського Союзу (Санкційного списку ЄС).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Зробити запит про те, чи було повідомлено про будь-які знахідки у процесі перевірки, а якщо так, то подати звіт про ці знахідки.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5. a) Перевірити й підтвердити чи невитрачений залишок коштів (згідно з      фінансовим звітом) на кінець фінансового року відповідає інформації, наданій у системі бухгалтерського обліку та/або на банківському рахунку.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Застосовується до останнього року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Перевірити та підтвердити невитрачений залишок коштів (включно з тим, що пов'язаний зі зміною курсу валют) у фінансовому звіті та підтвердити суму, яка має бути повернута до Sida.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360" w:line="240" w:lineRule="auto"/>
        <w:ind w:hanging="567"/>
        <w:jc w:val="both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III.</w:t>
        <w:tab/>
        <w:t xml:space="preserve">Звітність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Звітність за проєктом має бути підписана відповідальним/ою аудитором/кою (не лише аудиторською фірмою) і має містити ім'я відповідального/ї аудитора/ки.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Звітність за завданням МСА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Звіт аудитора/ки має включати звіт незалежного/ї аудитора/ки відповідно до формату стандарту МСА 800/805, а думка аудитора/ки має бути чітко висловлена. Фінансовий звіт, який був предметом аудиту, має бути прикріплений до аудиторського звіту.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Звітність також має включати лист аудитора/ки до керівництва організації, у якому будуть відображені всі результати аудиту, а також недоліки, виявлені в процесі аудиту. Аудитор/ка повинен/а надати рекомендації щодо роботи з виявленими знахідками та недоліками. Рекомендації мають бути представлені в пріоритетному порядку разом із класифікацією ризиків.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Заходи, вжиті Партнером зі співпраці для усунення недоліків, виявлених під час попередніх аудитів, також мають бути зазначені в листі аудитора/ки до керівництва організації. Якщо в процесі попереднього аудиту не було виявлено жодних недоліків, які потребують подальшого розгляду, роз'яснення щодо цього мають бути включені в аудиторський звіт.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Якщо аудитор/ка вважає, що в процесі аудиту не було виявлено жодних недоліків, які могли б бути включені в лист аудитора/ки до керівництва організації, пояснення такого оцінювання має бути включене в аудиторський звіт.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Звіт за завданням МССП 4400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Додаткове завдання відповідно до погоджених процедур МССП 4400 (Переглянутого) розділу II має бути подане окремо у «Звіті про погоджені процедури». Виконані процедури мають бути описані, а результати мають бути представлені відповідно до вимог Міжнародного стандарту супутніх послуг 4400 (Переглянутого).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У разі потреби розмір вибірки має бути вказаний у звіті.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Усі аудиторські звіти повинні бути надані у двох друкованих копіях українською та англійською мовами (одна копія має бути подана до Посольства Швеції в Україні) та в електронному вигляді у форматі PDF.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0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0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0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0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0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0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0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ru-UA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DB0D39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DB0D39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DB0D39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DB0D39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DB0D39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DB0D39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7">
    <w:name w:val="heading 7"/>
    <w:basedOn w:val="a"/>
    <w:next w:val="a"/>
    <w:link w:val="70"/>
    <w:uiPriority w:val="9"/>
    <w:semiHidden w:val="1"/>
    <w:unhideWhenUsed w:val="1"/>
    <w:qFormat w:val="1"/>
    <w:rsid w:val="00DB0D39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8">
    <w:name w:val="heading 8"/>
    <w:basedOn w:val="a"/>
    <w:next w:val="a"/>
    <w:link w:val="80"/>
    <w:uiPriority w:val="9"/>
    <w:semiHidden w:val="1"/>
    <w:unhideWhenUsed w:val="1"/>
    <w:qFormat w:val="1"/>
    <w:rsid w:val="00DB0D39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9">
    <w:name w:val="heading 9"/>
    <w:basedOn w:val="a"/>
    <w:next w:val="a"/>
    <w:link w:val="90"/>
    <w:uiPriority w:val="9"/>
    <w:semiHidden w:val="1"/>
    <w:unhideWhenUsed w:val="1"/>
    <w:qFormat w:val="1"/>
    <w:rsid w:val="00DB0D39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DB0D39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20" w:customStyle="1">
    <w:name w:val="Заголовок 2 Знак"/>
    <w:basedOn w:val="a0"/>
    <w:link w:val="2"/>
    <w:uiPriority w:val="9"/>
    <w:rsid w:val="00DB0D39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30" w:customStyle="1">
    <w:name w:val="Заголовок 3 Знак"/>
    <w:basedOn w:val="a0"/>
    <w:link w:val="3"/>
    <w:uiPriority w:val="9"/>
    <w:semiHidden w:val="1"/>
    <w:rsid w:val="00DB0D39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40" w:customStyle="1">
    <w:name w:val="Заголовок 4 Знак"/>
    <w:basedOn w:val="a0"/>
    <w:link w:val="4"/>
    <w:uiPriority w:val="9"/>
    <w:semiHidden w:val="1"/>
    <w:rsid w:val="00DB0D39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50" w:customStyle="1">
    <w:name w:val="Заголовок 5 Знак"/>
    <w:basedOn w:val="a0"/>
    <w:link w:val="5"/>
    <w:uiPriority w:val="9"/>
    <w:semiHidden w:val="1"/>
    <w:rsid w:val="00DB0D39"/>
    <w:rPr>
      <w:rFonts w:cstheme="majorBidi" w:eastAsiaTheme="majorEastAsia"/>
      <w:color w:val="0f4761" w:themeColor="accent1" w:themeShade="0000BF"/>
    </w:rPr>
  </w:style>
  <w:style w:type="character" w:styleId="60" w:customStyle="1">
    <w:name w:val="Заголовок 6 Знак"/>
    <w:basedOn w:val="a0"/>
    <w:link w:val="6"/>
    <w:uiPriority w:val="9"/>
    <w:semiHidden w:val="1"/>
    <w:rsid w:val="00DB0D39"/>
    <w:rPr>
      <w:rFonts w:cstheme="majorBidi" w:eastAsiaTheme="majorEastAsia"/>
      <w:i w:val="1"/>
      <w:iCs w:val="1"/>
      <w:color w:val="595959" w:themeColor="text1" w:themeTint="0000A6"/>
    </w:rPr>
  </w:style>
  <w:style w:type="character" w:styleId="70" w:customStyle="1">
    <w:name w:val="Заголовок 7 Знак"/>
    <w:basedOn w:val="a0"/>
    <w:link w:val="7"/>
    <w:uiPriority w:val="9"/>
    <w:semiHidden w:val="1"/>
    <w:rsid w:val="00DB0D39"/>
    <w:rPr>
      <w:rFonts w:cstheme="majorBidi" w:eastAsiaTheme="majorEastAsia"/>
      <w:color w:val="595959" w:themeColor="text1" w:themeTint="0000A6"/>
    </w:rPr>
  </w:style>
  <w:style w:type="character" w:styleId="80" w:customStyle="1">
    <w:name w:val="Заголовок 8 Знак"/>
    <w:basedOn w:val="a0"/>
    <w:link w:val="8"/>
    <w:uiPriority w:val="9"/>
    <w:semiHidden w:val="1"/>
    <w:rsid w:val="00DB0D39"/>
    <w:rPr>
      <w:rFonts w:cstheme="majorBidi" w:eastAsiaTheme="majorEastAsia"/>
      <w:i w:val="1"/>
      <w:iCs w:val="1"/>
      <w:color w:val="272727" w:themeColor="text1" w:themeTint="0000D8"/>
    </w:rPr>
  </w:style>
  <w:style w:type="character" w:styleId="90" w:customStyle="1">
    <w:name w:val="Заголовок 9 Знак"/>
    <w:basedOn w:val="a0"/>
    <w:link w:val="9"/>
    <w:uiPriority w:val="9"/>
    <w:semiHidden w:val="1"/>
    <w:rsid w:val="00DB0D39"/>
    <w:rPr>
      <w:rFonts w:cstheme="majorBidi" w:eastAsiaTheme="majorEastAsia"/>
      <w:color w:val="272727" w:themeColor="text1" w:themeTint="0000D8"/>
    </w:rPr>
  </w:style>
  <w:style w:type="paragraph" w:styleId="a3">
    <w:name w:val="Title"/>
    <w:basedOn w:val="a"/>
    <w:next w:val="a"/>
    <w:link w:val="a4"/>
    <w:uiPriority w:val="10"/>
    <w:qFormat w:val="1"/>
    <w:rsid w:val="00DB0D39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4" w:customStyle="1">
    <w:name w:val="Заголовок Знак"/>
    <w:basedOn w:val="a0"/>
    <w:link w:val="a3"/>
    <w:uiPriority w:val="10"/>
    <w:rsid w:val="00DB0D3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 w:val="1"/>
    <w:rsid w:val="00DB0D39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a6" w:customStyle="1">
    <w:name w:val="Подзаголовок Знак"/>
    <w:basedOn w:val="a0"/>
    <w:link w:val="a5"/>
    <w:uiPriority w:val="11"/>
    <w:rsid w:val="00DB0D39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 w:val="1"/>
    <w:rsid w:val="00DB0D39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22" w:customStyle="1">
    <w:name w:val="Цитата 2 Знак"/>
    <w:basedOn w:val="a0"/>
    <w:link w:val="21"/>
    <w:uiPriority w:val="29"/>
    <w:rsid w:val="00DB0D39"/>
    <w:rPr>
      <w:i w:val="1"/>
      <w:iCs w:val="1"/>
      <w:color w:val="404040" w:themeColor="text1" w:themeTint="0000BF"/>
    </w:rPr>
  </w:style>
  <w:style w:type="paragraph" w:styleId="a7">
    <w:name w:val="List Paragraph"/>
    <w:basedOn w:val="a"/>
    <w:uiPriority w:val="34"/>
    <w:qFormat w:val="1"/>
    <w:rsid w:val="00DB0D39"/>
    <w:pPr>
      <w:ind w:left="720"/>
      <w:contextualSpacing w:val="1"/>
    </w:pPr>
  </w:style>
  <w:style w:type="character" w:styleId="a8">
    <w:name w:val="Intense Emphasis"/>
    <w:basedOn w:val="a0"/>
    <w:uiPriority w:val="21"/>
    <w:qFormat w:val="1"/>
    <w:rsid w:val="00DB0D39"/>
    <w:rPr>
      <w:i w:val="1"/>
      <w:iCs w:val="1"/>
      <w:color w:val="0f4761" w:themeColor="accent1" w:themeShade="0000BF"/>
    </w:rPr>
  </w:style>
  <w:style w:type="paragraph" w:styleId="a9">
    <w:name w:val="Intense Quote"/>
    <w:basedOn w:val="a"/>
    <w:next w:val="a"/>
    <w:link w:val="aa"/>
    <w:uiPriority w:val="30"/>
    <w:qFormat w:val="1"/>
    <w:rsid w:val="00DB0D39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aa" w:customStyle="1">
    <w:name w:val="Выделенная цитата Знак"/>
    <w:basedOn w:val="a0"/>
    <w:link w:val="a9"/>
    <w:uiPriority w:val="30"/>
    <w:rsid w:val="00DB0D39"/>
    <w:rPr>
      <w:i w:val="1"/>
      <w:iCs w:val="1"/>
      <w:color w:val="0f4761" w:themeColor="accent1" w:themeShade="0000BF"/>
    </w:rPr>
  </w:style>
  <w:style w:type="character" w:styleId="ab">
    <w:name w:val="Intense Reference"/>
    <w:basedOn w:val="a0"/>
    <w:uiPriority w:val="32"/>
    <w:qFormat w:val="1"/>
    <w:rsid w:val="00DB0D39"/>
    <w:rPr>
      <w:b w:val="1"/>
      <w:bCs w:val="1"/>
      <w:smallCaps w:val="1"/>
      <w:color w:val="0f4761" w:themeColor="accent1" w:themeShade="0000BF"/>
      <w:spacing w:val="5"/>
    </w:rPr>
  </w:style>
  <w:style w:type="paragraph" w:styleId="ac">
    <w:name w:val="Normal (Web)"/>
    <w:basedOn w:val="a"/>
    <w:uiPriority w:val="99"/>
    <w:semiHidden w:val="1"/>
    <w:unhideWhenUsed w:val="1"/>
    <w:rsid w:val="00DB0D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lang w:eastAsia="ru-RU"/>
    </w:rPr>
  </w:style>
  <w:style w:type="character" w:styleId="apple-tab-span" w:customStyle="1">
    <w:name w:val="apple-tab-span"/>
    <w:basedOn w:val="a0"/>
    <w:rsid w:val="00DB0D39"/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ui3C3c1GaqgscC5RD8K2n7XCGg==">CgMxLjA4AHIhMTJlOTJOOEZCalgwTTFWTURsNlhYOG5KTHAwSGVla1cx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2024-02-14T12:35:00Z</dcterms:created>
  <dc:creator>eduardmomotok@gmail.com</dc:creator>
</cp:coreProperties>
</file>